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20"/>
    <w:p>
      <w:pPr>
        <w:pStyle w:val="Heading1"/>
      </w:pPr>
      <w:r>
        <w:t xml:space="preserve">Homiletics Analysis: Job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20 is Zophar the Naamathite’s second and final speech in the dialogue cycle. Responding to Job’s impassioned plea for a hearing (Job 19), Zophar delivers a sustained, rhetorically polished poem on the fate of the wicked. His central argument is that the prosperity of the wicked is fleeting — it rises quickly, collapses completely, and leaves nothing behind. The wicked man swallows wealth like a delicacy only to vomit it up; he crushes the poor to build his estate, but God will visit his belly with divine wrath; he will flee from iron weapons only to be pierced by bronze; his house, his children, his accumulated gains — all will be swept away in a day of God’s anger. Zophar’s argument is structured as a triptych: the brevity of the wicked man’s triumph (vv. 4–11), the reversal of his ill-gotten prosperity (vv. 12–22), and the comprehensive wrath of God that will overwhelm him (vv. 23–29). The chapter closes with a theological verdict:</w:t>
      </w:r>
      <w:r>
        <w:t xml:space="preserve"> </w:t>
      </w:r>
      <w:r>
        <w:t xml:space="preserve">“This is the portion of a wicked man from God, the heritage decreed for him by God”</w:t>
      </w:r>
      <w:r>
        <w:t xml:space="preserve"> </w:t>
      </w:r>
      <w:r>
        <w:t xml:space="preserve">(v. 29).</w:t>
      </w:r>
    </w:p>
    <w:p>
      <w:pPr>
        <w:pStyle w:val="BodyText"/>
      </w:pPr>
      <w:r>
        <w:rPr>
          <w:b/>
          <w:bCs/>
        </w:rPr>
        <w:t xml:space="preserve">This Text — Intent:</w:t>
      </w:r>
    </w:p>
    <w:p>
      <w:pPr>
        <w:pStyle w:val="BodyText"/>
      </w:pPr>
      <w:r>
        <w:t xml:space="preserve">Zophar’s speech is internally coherent and theologically competent — and entirely wrong in its application. His intent within the drama is to prosecute Job as a wicked man whose suffering proves his guilt. The divine intent in preserving this speech in canonical Scripture is more complex: God is exposing how a true theological claim (the wicked do not ultimately prosper) becomes a weapon of cruelty when mechanically applied to a specific sufferer whose situation the speaker has not honestly examined. The intent of this passage for the reader is to produce discernment — both about the limits of retributive theology as a diagnostic framework and about the spiritual danger of theological confidence deployed without compassion. The reader is meant to feel the violence of Zophar’s words precisely because they are so polished, so certain, and so wrong.</w:t>
      </w:r>
    </w:p>
    <w:p>
      <w:r>
        <w:pict>
          <v:rect style="width:0;height:1.5pt" o:hralign="center" o:hrstd="t" o:hr="t"/>
        </w:pict>
      </w:r>
    </w:p>
    <w:p>
      <w:pPr>
        <w:pStyle w:val="FirstParagraph"/>
      </w:pPr>
      <w:r>
        <w:rPr>
          <w:b/>
          <w:bCs/>
        </w:rPr>
        <w:t xml:space="preserve">Subject Sentence:</w:t>
      </w:r>
      <w:r>
        <w:t xml:space="preserve"> </w:t>
      </w:r>
      <w:r>
        <w:t xml:space="preserve">Zophar’s confident retributive verdict against Job reveals the cruelty of theology weaponized without compassion.</w:t>
      </w:r>
    </w:p>
    <w:p>
      <w:r>
        <w:pict>
          <v:rect style="width:0;height:1.5pt" o:hralign="center" o:hrstd="t" o:hr="t"/>
        </w:pict>
      </w:r>
    </w:p>
    <w:p>
      <w:pPr>
        <w:pStyle w:val="FirstParagraph"/>
      </w:pPr>
      <w:r>
        <w:rPr>
          <w:b/>
          <w:bCs/>
        </w:rPr>
        <w:t xml:space="preserve">Primary Claim:</w:t>
      </w:r>
      <w:r>
        <w:t xml:space="preserve"> </w:t>
      </w:r>
      <w:r>
        <w:t xml:space="preserve">God preserves Zophar’s speech in Scripture not to endorse its application but to expose how sound doctrine becomes a blunt instrument when wielded by a friend who has stopped listening — and to call readers to the harder work of presence over prosecution.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core interpretive question</w:t>
      </w:r>
      <w:r>
        <w:t xml:space="preserve">: Is Zophar right about the fate of the wicked, wrong entirely, or right in content but catastrophically wrong in application?</w:t>
      </w:r>
    </w:p>
    <w:p>
      <w:pPr>
        <w:pStyle w:val="BodyText"/>
      </w:pPr>
      <w:r>
        <w:t xml:space="preserve">The most important evaluative judgment for exposition is that Zophar is not a heretic — he is a skilled orthodox theologian making a valid general claim with an invalid specific application. His theology of divine retribution is consistent with Psalm 37, Psalm 73, and Proverbs 10–11. The wicked</w:t>
      </w:r>
      <w:r>
        <w:t xml:space="preserve"> </w:t>
      </w:r>
      <w:r>
        <w:rPr>
          <w:i/>
          <w:iCs/>
        </w:rPr>
        <w:t xml:space="preserve">do</w:t>
      </w:r>
      <w:r>
        <w:t xml:space="preserve"> </w:t>
      </w:r>
      <w:r>
        <w:t xml:space="preserve">ultimately fail; God</w:t>
      </w:r>
      <w:r>
        <w:t xml:space="preserve"> </w:t>
      </w:r>
      <w:r>
        <w:rPr>
          <w:i/>
          <w:iCs/>
        </w:rPr>
        <w:t xml:space="preserve">does</w:t>
      </w:r>
      <w:r>
        <w:t xml:space="preserve"> </w:t>
      </w:r>
      <w:r>
        <w:t xml:space="preserve">bring down the prideful; ill-gotten wealth</w:t>
      </w:r>
      <w:r>
        <w:t xml:space="preserve"> </w:t>
      </w:r>
      <w:r>
        <w:rPr>
          <w:i/>
          <w:iCs/>
        </w:rPr>
        <w:t xml:space="preserve">does</w:t>
      </w:r>
      <w:r>
        <w:t xml:space="preserve"> </w:t>
      </w:r>
      <w:r>
        <w:t xml:space="preserve">not endure. These claims are scripturally sound. The Reformed reading insists that Zophar’s error is not his theology in the abstract but his epistemological arrogance — his certainty that he has correctly identified Job as the subject of his sermon. This distinction matters enormously for preaching, because it protects the text from being read as a wholesale rejection of retributive justice while still preserving its canonical function as a rebuke of mechanistic application.</w:t>
      </w:r>
    </w:p>
    <w:p>
      <w:pPr>
        <w:pStyle w:val="BodyText"/>
      </w:pPr>
      <w:r>
        <w:rPr>
          <w:b/>
          <w:bCs/>
        </w:rPr>
        <w:t xml:space="preserve">Lutheran reading</w:t>
      </w:r>
      <w:r>
        <w:t xml:space="preserve">: A Lutheran Law/Gospel framing might locate Zophar’s speech entirely in the Law register — a crushing word of judgment that must ultimately give way to Gospel. This is partially correct in that Zophar’s speech functions as pure accusation with no grace. However, the Lutheran framing risks treating Zophar’s theology as merely</w:t>
      </w:r>
      <w:r>
        <w:t xml:space="preserve"> </w:t>
      </w:r>
      <w:r>
        <w:rPr>
          <w:i/>
          <w:iCs/>
        </w:rPr>
        <w:t xml:space="preserve">incomplete</w:t>
      </w:r>
      <w:r>
        <w:t xml:space="preserve"> </w:t>
      </w:r>
      <w:r>
        <w:t xml:space="preserve">when the book of Job’s final verdict (42:7 — God’s anger against Zophar and his friends,</w:t>
      </w:r>
      <w:r>
        <w:t xml:space="preserve"> </w:t>
      </w:r>
      <w:r>
        <w:t xml:space="preserve">“for you have not spoken of me what is right”</w:t>
      </w:r>
      <w:r>
        <w:t xml:space="preserve">) suggests the problem goes beyond incompleteness to active misrepresentation. Acknowledge this framing’s insight; qualify its tendency to let Zophar off too lightly.</w:t>
      </w:r>
    </w:p>
    <w:p>
      <w:pPr>
        <w:pStyle w:val="BodyText"/>
      </w:pPr>
      <w:r>
        <w:rPr>
          <w:b/>
          <w:bCs/>
        </w:rPr>
        <w:t xml:space="preserve">Wesleyan/Arminian reading</w:t>
      </w:r>
      <w:r>
        <w:t xml:space="preserve">: Wesleyan exposition sometimes gravitates toward Zophar as an example of judgmentalism that fails to honor human freedom and complexity. This captures the relational failure accurately but may underweight the theological error — Zophar is not merely unkind, he is epistemically overconfident about his ability to read divine providence. Acknowledge the relational insight; qualify the tendency to reduce the problem to attitude alone.</w:t>
      </w:r>
    </w:p>
    <w:p>
      <w:pPr>
        <w:pStyle w:val="BodyText"/>
      </w:pPr>
      <w:r>
        <w:rPr>
          <w:b/>
          <w:bCs/>
        </w:rPr>
        <w:t xml:space="preserve">Dispensational reading</w:t>
      </w:r>
      <w:r>
        <w:t xml:space="preserve">: Some dispensational interpreters treat the Friends’ speeches primarily as demonstrations of pre-Mosaic theology, positioning their errors as products of an early, incomplete revelation. This reading exonerates Zophar too quickly — God’s verdict in 42:7 is not that his theology was pre-Mosaic but that he had not</w:t>
      </w:r>
      <w:r>
        <w:t xml:space="preserve"> </w:t>
      </w:r>
      <w:r>
        <w:t xml:space="preserve">“spoken of me what is right,”</w:t>
      </w:r>
      <w:r>
        <w:t xml:space="preserve"> </w:t>
      </w:r>
      <w:r>
        <w:t xml:space="preserve">which implies a moral and theological failure, not merely a chronological limitation. Qualify this reading.</w:t>
      </w:r>
    </w:p>
    <w:p>
      <w:pPr>
        <w:pStyle w:val="BodyText"/>
      </w:pPr>
      <w:r>
        <w:rPr>
          <w:b/>
          <w:bCs/>
        </w:rPr>
        <w:t xml:space="preserve">Reformed verdict</w:t>
      </w:r>
      <w:r>
        <w:t xml:space="preserve">: Zophar is a cautionary figure, not a heretical one. His theology of retribution is not wrong; his application is. The Reformed tradition’s emphasis on the hidden and revealed will of God, and on the limits of human ability to read providence, guards against both dismissing Zophar’s doctrine and endorsing his verdict. The reader is called to hold sound doctrine with humility — to know what Scripture teaches about the wicked without assuming confident knowledge of who among the suffering fits that category.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42:7</w:t>
      </w:r>
      <w:r>
        <w:t xml:space="preserve"> </w:t>
      </w:r>
      <w:r>
        <w:t xml:space="preserve">— God’s direct verdict:</w:t>
      </w:r>
      <w:r>
        <w:t xml:space="preserve"> </w:t>
      </w:r>
      <w:r>
        <w:t xml:space="preserve">“You have not spoken of me what is right, as my servant Job has.”</w:t>
      </w:r>
      <w:r>
        <w:t xml:space="preserve"> </w:t>
      </w:r>
      <w:r>
        <w:t xml:space="preserve">This is the canonical control on all interpretation of the Friends’ speeches — their error is not incidental but formally condemned by God.</w:t>
      </w:r>
    </w:p>
    <w:p>
      <w:pPr>
        <w:numPr>
          <w:ilvl w:val="0"/>
          <w:numId w:val="1001"/>
        </w:numPr>
      </w:pPr>
      <w:r>
        <w:rPr>
          <w:b/>
          <w:bCs/>
        </w:rPr>
        <w:t xml:space="preserve">Psalm 73:1–20</w:t>
      </w:r>
      <w:r>
        <w:t xml:space="preserve"> </w:t>
      </w:r>
      <w:r>
        <w:t xml:space="preserve">— Asaph wrestles honestly with the prosperity of the wicked before arriving at their end</w:t>
      </w:r>
      <w:r>
        <w:t xml:space="preserve"> </w:t>
      </w:r>
      <w:r>
        <w:t xml:space="preserve">“in a moment, swept away by terrors.”</w:t>
      </w:r>
      <w:r>
        <w:t xml:space="preserve"> </w:t>
      </w:r>
      <w:r>
        <w:t xml:space="preserve">Asaph’s journey is the honest version of what Zophar claims as a settled verdict — the difference is that Asaph begins in confusion and arrives at faith, while Zophar begins in certainty and never questions his application.</w:t>
      </w:r>
    </w:p>
    <w:p>
      <w:pPr>
        <w:numPr>
          <w:ilvl w:val="0"/>
          <w:numId w:val="1001"/>
        </w:numPr>
      </w:pPr>
      <w:r>
        <w:rPr>
          <w:b/>
          <w:bCs/>
        </w:rPr>
        <w:t xml:space="preserve">Proverbs 10:27–30</w:t>
      </w:r>
      <w:r>
        <w:t xml:space="preserve"> </w:t>
      </w:r>
      <w:r>
        <w:t xml:space="preserve">— Affirms the shortened life of the wicked and the permanence of the righteous — the doctrinal substance of Zophar’s speech, stated correctly without being applied as a diagnostic to a specific sufferer.</w:t>
      </w:r>
    </w:p>
    <w:p>
      <w:pPr>
        <w:numPr>
          <w:ilvl w:val="0"/>
          <w:numId w:val="1001"/>
        </w:numPr>
      </w:pPr>
      <w:r>
        <w:rPr>
          <w:b/>
          <w:bCs/>
        </w:rPr>
        <w:t xml:space="preserve">Luke 13:1–5</w:t>
      </w:r>
      <w:r>
        <w:t xml:space="preserve"> </w:t>
      </w:r>
      <w:r>
        <w:t xml:space="preserve">— Jesus explicitly dismantles the retributive diagnostic when asked about the Galileans killed by Pilate and the eighteen crushed by the tower of Siloam:</w:t>
      </w:r>
      <w:r>
        <w:t xml:space="preserve"> </w:t>
      </w:r>
      <w:r>
        <w:t xml:space="preserve">“Do you think that they were worse sinners?”</w:t>
      </w:r>
      <w:r>
        <w:t xml:space="preserve"> </w:t>
      </w:r>
      <w:r>
        <w:t xml:space="preserve">Jesus refutes the application of retributive logic to specific sufferers while not denying divine justice.</w:t>
      </w:r>
    </w:p>
    <w:p>
      <w:pPr>
        <w:numPr>
          <w:ilvl w:val="0"/>
          <w:numId w:val="1001"/>
        </w:numPr>
      </w:pPr>
      <w:r>
        <w:rPr>
          <w:b/>
          <w:bCs/>
        </w:rPr>
        <w:t xml:space="preserve">John 9:1–3</w:t>
      </w:r>
      <w:r>
        <w:t xml:space="preserve"> </w:t>
      </w:r>
      <w:r>
        <w:t xml:space="preserve">— The disciples ask whose sin caused the man’s blindness. Jesus’s answer —</w:t>
      </w:r>
      <w:r>
        <w:t xml:space="preserve"> </w:t>
      </w:r>
      <w:r>
        <w:t xml:space="preserve">“It was not that this man sinned, or his parents”</w:t>
      </w:r>
      <w:r>
        <w:t xml:space="preserve"> </w:t>
      </w:r>
      <w:r>
        <w:t xml:space="preserve">— is the New Testament’s most direct refutation of the Friends’ hermeneutic, and the canonical completion of Job’s canonical argument.</w:t>
      </w:r>
    </w:p>
    <w:p>
      <w:r>
        <w:pict>
          <v:rect style="width:0;height:1.5pt" o:hralign="center" o:hrstd="t" o:hr="t"/>
        </w:pict>
      </w:r>
    </w:p>
    <w:p>
      <w:pPr>
        <w:pStyle w:val="FirstParagraph"/>
      </w:pPr>
      <w:r>
        <w:rPr>
          <w:b/>
          <w:bCs/>
        </w:rPr>
        <w:t xml:space="preserve">Aim:</w:t>
      </w:r>
      <w:r>
        <w:t xml:space="preserve"> </w:t>
      </w:r>
      <w:r>
        <w:t xml:space="preserve">To equip the reader to hold sound retributive theology with appropriate epistemological humility — trusting that God does justice without presuming to identify who among the suffering deserves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Zophar opens, stung by Job’s rebuke in ch. 19; his</w:t>
            </w:r>
            <w:r>
              <w:t xml:space="preserve"> </w:t>
            </w:r>
            <w:r>
              <w:t xml:space="preserve">“spirit”</w:t>
            </w:r>
            <w:r>
              <w:t xml:space="preserve"> </w:t>
            </w:r>
            <w:r>
              <w:t xml:space="preserve">drives him to answer</w:t>
            </w:r>
          </w:p>
        </w:tc>
        <w:tc>
          <w:tcPr/>
          <w:p>
            <w:pPr>
              <w:pStyle w:val="Compact"/>
            </w:pPr>
            <w:r>
              <w:t xml:space="preserve">Emotional trigger — his response is motivated by wounded pride as much as theology</w:t>
            </w:r>
          </w:p>
        </w:tc>
      </w:tr>
      <w:tr>
        <w:tc>
          <w:tcPr/>
          <w:p>
            <w:pPr>
              <w:pStyle w:val="Compact"/>
            </w:pPr>
            <w:r>
              <w:t xml:space="preserve">4–5</w:t>
            </w:r>
          </w:p>
        </w:tc>
        <w:tc>
          <w:tcPr/>
          <w:p>
            <w:pPr>
              <w:pStyle w:val="Compact"/>
            </w:pPr>
            <w:r>
              <w:t xml:space="preserve">Appeal to ancient tradition: the triumph of the wicked is short; the hypocrite’s joy is brief</w:t>
            </w:r>
          </w:p>
        </w:tc>
        <w:tc>
          <w:tcPr/>
          <w:p>
            <w:pPr>
              <w:pStyle w:val="Compact"/>
            </w:pPr>
            <w:r>
              <w:t xml:space="preserve">Classic retributive premise — invokes antiquity as authority</w:t>
            </w:r>
          </w:p>
        </w:tc>
      </w:tr>
      <w:tr>
        <w:tc>
          <w:tcPr/>
          <w:p>
            <w:pPr>
              <w:pStyle w:val="Compact"/>
            </w:pPr>
            <w:r>
              <w:t xml:space="preserve">6–9</w:t>
            </w:r>
          </w:p>
        </w:tc>
        <w:tc>
          <w:tcPr/>
          <w:p>
            <w:pPr>
              <w:pStyle w:val="Compact"/>
            </w:pPr>
            <w:r>
              <w:t xml:space="preserve">Even if the wicked man exalts himself to the heavens, he will perish like his own dung; those who knew him will ask</w:t>
            </w:r>
            <w:r>
              <w:t xml:space="preserve"> </w:t>
            </w:r>
            <w:r>
              <w:t xml:space="preserve">“Where is he?”</w:t>
            </w:r>
          </w:p>
        </w:tc>
        <w:tc>
          <w:tcPr/>
          <w:p>
            <w:pPr>
              <w:pStyle w:val="Compact"/>
            </w:pPr>
            <w:r>
              <w:t xml:space="preserve">Graphic imagery of total disappearance — social erasure</w:t>
            </w:r>
          </w:p>
        </w:tc>
      </w:tr>
      <w:tr>
        <w:tc>
          <w:tcPr/>
          <w:p>
            <w:pPr>
              <w:pStyle w:val="Compact"/>
            </w:pPr>
            <w:r>
              <w:t xml:space="preserve">10–11</w:t>
            </w:r>
          </w:p>
        </w:tc>
        <w:tc>
          <w:tcPr/>
          <w:p>
            <w:pPr>
              <w:pStyle w:val="Compact"/>
            </w:pPr>
            <w:r>
              <w:t xml:space="preserve">His children will seek the favor of the poor; his bones filled with youthful vigor will lie in the dust</w:t>
            </w:r>
          </w:p>
        </w:tc>
        <w:tc>
          <w:tcPr/>
          <w:p>
            <w:pPr>
              <w:pStyle w:val="Compact"/>
            </w:pPr>
            <w:r>
              <w:t xml:space="preserve">The reversal reaches to the next generation and to the body itself</w:t>
            </w:r>
          </w:p>
        </w:tc>
      </w:tr>
      <w:tr>
        <w:tc>
          <w:tcPr/>
          <w:p>
            <w:pPr>
              <w:pStyle w:val="Compact"/>
            </w:pPr>
            <w:r>
              <w:t xml:space="preserve">12–14</w:t>
            </w:r>
          </w:p>
        </w:tc>
        <w:tc>
          <w:tcPr/>
          <w:p>
            <w:pPr>
              <w:pStyle w:val="Compact"/>
            </w:pPr>
            <w:r>
              <w:t xml:space="preserve">He hides evil under his tongue like a sweet morsel, but it turns to the venom of cobras in his belly</w:t>
            </w:r>
          </w:p>
        </w:tc>
        <w:tc>
          <w:tcPr/>
          <w:p>
            <w:pPr>
              <w:pStyle w:val="Compact"/>
            </w:pPr>
            <w:r>
              <w:t xml:space="preserve">Extended metaphor: ill-gotten pleasure becomes internal poison</w:t>
            </w:r>
          </w:p>
        </w:tc>
      </w:tr>
      <w:tr>
        <w:tc>
          <w:tcPr/>
          <w:p>
            <w:pPr>
              <w:pStyle w:val="Compact"/>
            </w:pPr>
            <w:r>
              <w:t xml:space="preserve">15–16</w:t>
            </w:r>
          </w:p>
        </w:tc>
        <w:tc>
          <w:tcPr/>
          <w:p>
            <w:pPr>
              <w:pStyle w:val="Compact"/>
            </w:pPr>
            <w:r>
              <w:t xml:space="preserve">He swallows wealth but must vomit it — God forces it out; what he sucked from the viper kills him</w:t>
            </w:r>
          </w:p>
        </w:tc>
        <w:tc>
          <w:tcPr/>
          <w:p>
            <w:pPr>
              <w:pStyle w:val="Compact"/>
            </w:pPr>
            <w:r>
              <w:t xml:space="preserve">The vomiting image — accumulated gain is physically expelled</w:t>
            </w:r>
          </w:p>
        </w:tc>
      </w:tr>
      <w:tr>
        <w:tc>
          <w:tcPr/>
          <w:p>
            <w:pPr>
              <w:pStyle w:val="Compact"/>
            </w:pPr>
            <w:r>
              <w:t xml:space="preserve">17–18</w:t>
            </w:r>
          </w:p>
        </w:tc>
        <w:tc>
          <w:tcPr/>
          <w:p>
            <w:pPr>
              <w:pStyle w:val="Compact"/>
            </w:pPr>
            <w:r>
              <w:t xml:space="preserve">He will not see the rivers of oil and honey; he must restore what he gained and cannot enjoy it</w:t>
            </w:r>
          </w:p>
        </w:tc>
        <w:tc>
          <w:tcPr/>
          <w:p>
            <w:pPr>
              <w:pStyle w:val="Compact"/>
            </w:pPr>
            <w:r>
              <w:t xml:space="preserve">No enjoyment of prosperity — acquisition without possession</w:t>
            </w:r>
          </w:p>
        </w:tc>
      </w:tr>
      <w:tr>
        <w:tc>
          <w:tcPr/>
          <w:p>
            <w:pPr>
              <w:pStyle w:val="Compact"/>
            </w:pPr>
            <w:r>
              <w:t xml:space="preserve">19–21</w:t>
            </w:r>
          </w:p>
        </w:tc>
        <w:tc>
          <w:tcPr/>
          <w:p>
            <w:pPr>
              <w:pStyle w:val="Compact"/>
            </w:pPr>
            <w:r>
              <w:t xml:space="preserve">Because he oppressed the poor, crushed them, seized houses — his prosperity will not endure</w:t>
            </w:r>
          </w:p>
        </w:tc>
        <w:tc>
          <w:tcPr/>
          <w:p>
            <w:pPr>
              <w:pStyle w:val="Compact"/>
            </w:pPr>
            <w:r>
              <w:t xml:space="preserve">Moral grounds for the reversal: economic injustice against the vulnerable</w:t>
            </w:r>
          </w:p>
        </w:tc>
      </w:tr>
      <w:tr>
        <w:tc>
          <w:tcPr/>
          <w:p>
            <w:pPr>
              <w:pStyle w:val="Compact"/>
            </w:pPr>
            <w:r>
              <w:t xml:space="preserve">22–23</w:t>
            </w:r>
          </w:p>
        </w:tc>
        <w:tc>
          <w:tcPr/>
          <w:p>
            <w:pPr>
              <w:pStyle w:val="Compact"/>
            </w:pPr>
            <w:r>
              <w:t xml:space="preserve">In the fullness of his sufficiency he is in straits; the hand of everyone in misery comes against him; God sends fiery anger into his belly</w:t>
            </w:r>
          </w:p>
        </w:tc>
        <w:tc>
          <w:tcPr/>
          <w:p>
            <w:pPr>
              <w:pStyle w:val="Compact"/>
            </w:pPr>
            <w:r>
              <w:t xml:space="preserve">The climax of reversal — fullness becomes destruction</w:t>
            </w:r>
          </w:p>
        </w:tc>
      </w:tr>
      <w:tr>
        <w:tc>
          <w:tcPr/>
          <w:p>
            <w:pPr>
              <w:pStyle w:val="Compact"/>
            </w:pPr>
            <w:r>
              <w:t xml:space="preserve">24–25</w:t>
            </w:r>
          </w:p>
        </w:tc>
        <w:tc>
          <w:tcPr/>
          <w:p>
            <w:pPr>
              <w:pStyle w:val="Compact"/>
            </w:pPr>
            <w:r>
              <w:t xml:space="preserve">He flees iron weapons but is pierced by bronze; the sword comes out his back; terrors overwhelm him</w:t>
            </w:r>
          </w:p>
        </w:tc>
        <w:tc>
          <w:tcPr/>
          <w:p>
            <w:pPr>
              <w:pStyle w:val="Compact"/>
            </w:pPr>
            <w:r>
              <w:t xml:space="preserve">Military imagery — no escape from divine judgment</w:t>
            </w:r>
          </w:p>
        </w:tc>
      </w:tr>
      <w:tr>
        <w:tc>
          <w:tcPr/>
          <w:p>
            <w:pPr>
              <w:pStyle w:val="Compact"/>
            </w:pPr>
            <w:r>
              <w:t xml:space="preserve">26–28</w:t>
            </w:r>
          </w:p>
        </w:tc>
        <w:tc>
          <w:tcPr/>
          <w:p>
            <w:pPr>
              <w:pStyle w:val="Compact"/>
            </w:pPr>
            <w:r>
              <w:t xml:space="preserve">Darkness is reserved for his treasures; a fire not fanned consumes him; heaven and earth rise against him</w:t>
            </w:r>
          </w:p>
        </w:tc>
        <w:tc>
          <w:tcPr/>
          <w:p>
            <w:pPr>
              <w:pStyle w:val="Compact"/>
            </w:pPr>
            <w:r>
              <w:t xml:space="preserve">Cosmic scope of judgment — nature itself executes the verdict</w:t>
            </w:r>
          </w:p>
        </w:tc>
      </w:tr>
      <w:tr>
        <w:tc>
          <w:tcPr/>
          <w:p>
            <w:pPr>
              <w:pStyle w:val="Compact"/>
            </w:pPr>
            <w:r>
              <w:t xml:space="preserve">29</w:t>
            </w:r>
          </w:p>
        </w:tc>
        <w:tc>
          <w:tcPr/>
          <w:p>
            <w:pPr>
              <w:pStyle w:val="Compact"/>
            </w:pPr>
            <w:r>
              <w:t xml:space="preserve">“This is the portion of a wicked man from God, the heritage decreed for him by God”</w:t>
            </w:r>
          </w:p>
        </w:tc>
        <w:tc>
          <w:tcPr/>
          <w:p>
            <w:pPr>
              <w:pStyle w:val="Compact"/>
            </w:pPr>
            <w:r>
              <w:t xml:space="preserve">Zophar’s closing verdict — the entire speech compressed into one pronouncement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Provocation: Zophar’s Wounded Spirit</w:t>
            </w:r>
          </w:p>
        </w:tc>
      </w:tr>
      <w:tr>
        <w:tc>
          <w:tcPr/>
          <w:p>
            <w:pPr>
              <w:pStyle w:val="Compact"/>
            </w:pPr>
            <w:r>
              <w:t xml:space="preserve">2</w:t>
            </w:r>
          </w:p>
        </w:tc>
        <w:tc>
          <w:tcPr/>
          <w:p>
            <w:pPr>
              <w:pStyle w:val="Compact"/>
            </w:pPr>
            <w:r>
              <w:t xml:space="preserve">4–11</w:t>
            </w:r>
          </w:p>
        </w:tc>
        <w:tc>
          <w:tcPr/>
          <w:p>
            <w:pPr>
              <w:pStyle w:val="Compact"/>
            </w:pPr>
            <w:r>
              <w:t xml:space="preserve">The Ancient Verdict: The Wicked Man’s Triumph Is Brief</w:t>
            </w:r>
          </w:p>
        </w:tc>
      </w:tr>
      <w:tr>
        <w:tc>
          <w:tcPr/>
          <w:p>
            <w:pPr>
              <w:pStyle w:val="Compact"/>
            </w:pPr>
            <w:r>
              <w:t xml:space="preserve">3</w:t>
            </w:r>
          </w:p>
        </w:tc>
        <w:tc>
          <w:tcPr/>
          <w:p>
            <w:pPr>
              <w:pStyle w:val="Compact"/>
            </w:pPr>
            <w:r>
              <w:t xml:space="preserve">12–22</w:t>
            </w:r>
          </w:p>
        </w:tc>
        <w:tc>
          <w:tcPr/>
          <w:p>
            <w:pPr>
              <w:pStyle w:val="Compact"/>
            </w:pPr>
            <w:r>
              <w:t xml:space="preserve">The Reversal: Prosperity Turns to Poison</w:t>
            </w:r>
          </w:p>
        </w:tc>
      </w:tr>
      <w:tr>
        <w:tc>
          <w:tcPr/>
          <w:p>
            <w:pPr>
              <w:pStyle w:val="Compact"/>
            </w:pPr>
            <w:r>
              <w:t xml:space="preserve">4</w:t>
            </w:r>
          </w:p>
        </w:tc>
        <w:tc>
          <w:tcPr/>
          <w:p>
            <w:pPr>
              <w:pStyle w:val="Compact"/>
            </w:pPr>
            <w:r>
              <w:t xml:space="preserve">23–29</w:t>
            </w:r>
          </w:p>
        </w:tc>
        <w:tc>
          <w:tcPr/>
          <w:p>
            <w:pPr>
              <w:pStyle w:val="Compact"/>
            </w:pPr>
            <w:r>
              <w:t xml:space="preserve">The Wrath: God’s Comprehensive Judgment Falls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Zophar’s confident retributive verdict against Job reveals the cruelty of theology weaponized without compassion.</w:t>
      </w:r>
    </w:p>
    <w:p>
      <w:pPr>
        <w:pStyle w:val="BodyText"/>
      </w:pPr>
      <w:r>
        <w:rPr>
          <w:b/>
          <w:bCs/>
        </w:rPr>
        <w:t xml:space="preserve">Primary Claim:</w:t>
      </w:r>
      <w:r>
        <w:t xml:space="preserve"> </w:t>
      </w:r>
      <w:r>
        <w:t xml:space="preserve">God preserves Zophar’s speech in Scripture not to endorse its application but to expose how sound doctrine becomes a blunt instrument when wielded by a friend who has stopped listening — and to call readers to the harder work of presence over prosecution.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Distinguish between a doctrine being true and your application of it being correct.</w:t>
      </w:r>
      <w:r>
        <w:t xml:space="preserve"> </w:t>
      </w:r>
      <w:r>
        <w:t xml:space="preserve">Zophar’s theology is not heretical — it is scripturally grounded, rhetorically disciplined, and ultimately affirmed in passages from Psalms to Proverbs to Revelation. What is catastrophically wrong is his certainty that Job is the subject of the sermon. The reader must learn to hold the same distinction: the doctrine of divine retributive justice is real and should be taught with confidence; the claim that</w:t>
      </w:r>
      <w:r>
        <w:t xml:space="preserve"> </w:t>
      </w:r>
      <w:r>
        <w:rPr>
          <w:i/>
          <w:iCs/>
        </w:rPr>
        <w:t xml:space="preserve">this specific sufferer</w:t>
      </w:r>
      <w:r>
        <w:t xml:space="preserve"> </w:t>
      </w:r>
      <w:r>
        <w:t xml:space="preserve">is experiencing it as punishment for</w:t>
      </w:r>
      <w:r>
        <w:t xml:space="preserve"> </w:t>
      </w:r>
      <w:r>
        <w:rPr>
          <w:i/>
          <w:iCs/>
        </w:rPr>
        <w:t xml:space="preserve">specific hidden sin</w:t>
      </w:r>
      <w:r>
        <w:t xml:space="preserve"> </w:t>
      </w:r>
      <w:r>
        <w:t xml:space="preserve">is an epistemological step the text explicitly forbids. The failure to distinguish between these two claims produces the pastoral violence Zophar inflicts. Preach the doctrine; withhold the verdict.</w:t>
      </w:r>
    </w:p>
    <w:p>
      <w:pPr>
        <w:pStyle w:val="BodyText"/>
      </w:pPr>
      <w:r>
        <w:rPr>
          <w:b/>
          <w:bCs/>
        </w:rPr>
        <w:t xml:space="preserve">2. [Affections/Worship] Let the wrongness of Zophar’s speech produce grief rather than contempt.</w:t>
      </w:r>
      <w:r>
        <w:t xml:space="preserve"> </w:t>
      </w:r>
      <w:r>
        <w:t xml:space="preserve">The temptation when reading Zophar is to position ourselves above him — to feel the satisfaction of identifying his error and congratulating ourselves on our superior pastoral sensitivity. But Zophar is not a cartoon villain; he is a friend who traveled a long distance to sit with Job in his suffering (2:11), who began in silence (2:13), and who genuinely believes he is helping. His failure is therefore a warning about what we become when theological competence replaces attentive presence. Let his failure produce grief over our own tendencies rather than contempt for his — because the path from genuine care to prosecutorial certainty is shorter than we imagine, and most of us have walked some portion of it.</w:t>
      </w:r>
    </w:p>
    <w:p>
      <w:pPr>
        <w:pStyle w:val="BodyText"/>
      </w:pPr>
      <w:r>
        <w:rPr>
          <w:b/>
          <w:bCs/>
        </w:rPr>
        <w:t xml:space="preserve">3. [Will/Behavior] When someone is suffering, ask before explaining.</w:t>
      </w:r>
      <w:r>
        <w:t xml:space="preserve"> </w:t>
      </w:r>
      <w:r>
        <w:t xml:space="preserve">Zophar’s fundamental pastoral failure is that he diagnoses before he listens. He arrives at Job’s suffering with his framework already complete — all that remains is to apply it. The behavioral application of this passage is concrete: before offering theological explanation to someone in acute suffering, ask what they are experiencing, stay in the question long enough to be genuinely informed, and treat any impulse toward confident causal explanation as a warning sign rather than a helpful instinct.</w:t>
      </w:r>
      <w:r>
        <w:t xml:space="preserve"> </w:t>
      </w:r>
      <w:r>
        <w:t xml:space="preserve">“This happened because…”</w:t>
      </w:r>
      <w:r>
        <w:t xml:space="preserve"> </w:t>
      </w:r>
      <w:r>
        <w:t xml:space="preserve">is almost always the wrong first sentence in a pastoral conversation. Presence before prosecution. Questions before conclusions. Grief before grammar.</w:t>
      </w:r>
    </w:p>
    <w:p>
      <w:pPr>
        <w:pStyle w:val="BodyText"/>
      </w:pPr>
      <w:r>
        <w:rPr>
          <w:b/>
          <w:bCs/>
        </w:rPr>
        <w:t xml:space="preserve">4. [Mind/Belief] Recognize that Scripture itself contains voices God does not endorse — and this is by design.</w:t>
      </w:r>
      <w:r>
        <w:t xml:space="preserve"> </w:t>
      </w:r>
      <w:r>
        <w:t xml:space="preserve">One of the most important hermeneutical lessons in the book of Job is that the biblical canon includes speeches God explicitly condemns (42:7). This is not a problem; it is a feature. Scripture preserves Zophar’s words at length — three complete speeches — precisely because the reader needs to hear what sophisticated, doctrinally grounded cruelty sounds like, and to have their instinct toward it exposed and corrected. The reader who leaves Job 20 thinking only about Zophar’s theology has missed the canonical intent. The reader who leaves asking</w:t>
      </w:r>
      <w:r>
        <w:t xml:space="preserve"> </w:t>
      </w:r>
      <w:r>
        <w:rPr>
          <w:i/>
          <w:iCs/>
        </w:rPr>
        <w:t xml:space="preserve">where do I sound like Zophar?</w:t>
      </w:r>
      <w:r>
        <w:t xml:space="preserve"> </w:t>
      </w:r>
      <w:r>
        <w:t xml:space="preserve">is reading as the text intends.</w:t>
      </w:r>
    </w:p>
    <w:p>
      <w:pPr>
        <w:pStyle w:val="BodyText"/>
      </w:pPr>
      <w:r>
        <w:rPr>
          <w:b/>
          <w:bCs/>
        </w:rPr>
        <w:t xml:space="preserve">5. [Affections/Worship] Trust God’s justice without needing to administer it.</w:t>
      </w:r>
      <w:r>
        <w:t xml:space="preserve"> </w:t>
      </w:r>
      <w:r>
        <w:t xml:space="preserve">The deepest spiritual failure beneath Zophar’s speech is not theological but worshipful — he cannot tolerate the ambiguity of Job’s situation without resolving it. If Job is righteous and still suffering, the moral order feels unsafe, and that intolerable feeling drives him to force resolution by prosecuting Job. The affectional application is this: trust in divine justice means being able to sit with unresolved situations — with suffering that has no clear cause, with apparent prosperity for the wicked, with prolonged darkness for the righteous — without requiring an explanation that makes the universe feel tidy again. Zophar’s urgency to explain is not confidence in God; it is anxiety about God’s management of the world. True trust in divine justice frees us from the compulsion to perform that justice ourselves.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20 teaches that the doctrine of divine retributive justice — while genuinely true — is not a diagnostic instrument God has authorized human beings to apply to specific sufferers. God’s justice is real, comprehensive, and inescapable, as Zophar rightly insists; but God’s ways of administering that justice are not transparent to observers who work from external evidence alone. This passage, read within its canonical context, advances a crucial doctrine of epistemological humility about divine providence: we may affirm that God does justice without claiming to know when, how, or against whom that justice is presently being executed. The theological importance of this chapter is therefore not found in Zophar’s claims in isolation but in the dramatic function those claims serve — displaying what happens when a real doctrine is severed from the limits God has placed on human knowledge of His ways.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on the hiddenness of God’s providential will — the distinction between what God has revealed and what He has not — provides the theological framework for understanding Zophar’s failure. Calvin’s recognition that we are not permitted to read divine providence directly from observable circumstances is precisely the corrective Zophar lacks. Furthermore, the Reformed emphasis on the</w:t>
      </w:r>
      <w:r>
        <w:t xml:space="preserve"> </w:t>
      </w:r>
      <w:r>
        <w:rPr>
          <w:i/>
          <w:iCs/>
        </w:rPr>
        <w:t xml:space="preserve">total</w:t>
      </w:r>
      <w:r>
        <w:t xml:space="preserve"> </w:t>
      </w:r>
      <w:r>
        <w:t xml:space="preserve">sufficiency of grace means that even correct doctrine, wielded without the Spirit’s wisdom and love, becomes an instrument of harm rather than healing — a point that anticipates Paul’s warning in 1 Corinthians 13:2 that prophetic power and comprehensive knowledge without love is nothing. Job 20 also serves the anti-moralism principle directly: Zophar reduces Job’s situation to a moral ledger — you sinned, therefore you suffer — and the entire book of Job exists to break that ledger and replace it with something that can only be received, not calculated. The gospel’s power is precisely that it addresses sufferers who cannot produce a clean ledger, and Job 20 exposes how theological moralism fails the very people it claims to serve.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Zophar’s speech is theologically polished and pastorally devastating — and God preserved it in Scripture precisely so we would recognize it when we hear it, and when we produce it. Sound doctrine does not give you the right to pronounce on another person’s suffering. The harder, truer faithfulness is to sit in what you cannot explain, to trust that God’s justice does not require your administration, and to be present to the sufferer as a fellow creature rather than a theological examiner. Stop prosecuting. Start staying.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Using Zophar’s theology as a sermon on the fate of the wicked without noting God’s verdict on his application.</w:t>
      </w:r>
      <w:r>
        <w:t xml:space="preserve"> </w:t>
      </w:r>
      <w:r>
        <w:t xml:space="preserve">It is tempting to extract the content of Job 20 as a standalone meditation on divine retributive justice — the material is rich and largely scripturally sound. But to do so without noting that God explicitly condemns Zophar’s speech in 42:7 is to preach a sermon God has already disowned. The theological content may be usable; the canonical context must control how it is used.</w:t>
      </w:r>
    </w:p>
    <w:p>
      <w:pPr>
        <w:numPr>
          <w:ilvl w:val="0"/>
          <w:numId w:val="1002"/>
        </w:numPr>
      </w:pPr>
      <w:r>
        <w:rPr>
          <w:b/>
          <w:bCs/>
        </w:rPr>
        <w:t xml:space="preserve">Reducing Zophar to a caricature of cold theological cruelty.</w:t>
      </w:r>
      <w:r>
        <w:t xml:space="preserve"> </w:t>
      </w:r>
      <w:r>
        <w:t xml:space="preserve">Zophar is not a monster. He is a friend who traveled to be with Job, who sat in silence for seven days, and who genuinely believes his theology is helping. To preach him as simply mean or obviously wrong lets the congregation off the hook. The convicting force of Job 20 is that Zophar sounds right — and the congregation needs to feel that force before they can be confronted with where they reproduce it.</w:t>
      </w:r>
    </w:p>
    <w:p>
      <w:pPr>
        <w:numPr>
          <w:ilvl w:val="0"/>
          <w:numId w:val="1002"/>
        </w:numPr>
      </w:pPr>
      <w:r>
        <w:rPr>
          <w:b/>
          <w:bCs/>
        </w:rPr>
        <w:t xml:space="preserve">Failing to distinguish between the doctrine being true and the application being false.</w:t>
      </w:r>
      <w:r>
        <w:t xml:space="preserve"> </w:t>
      </w:r>
      <w:r>
        <w:t xml:space="preserve">Preachers sometimes overcorrect by implying that Zophar’s retributive theology is simply wrong — that the wicked do not suffer consequences, that God does not judge. This overcorrection produces a different error: a sentimentalized God who does not execute justice. The Reformed distinction between the doctrine being valid and the specific application being forbidden must be maintained.</w:t>
      </w:r>
    </w:p>
    <w:p>
      <w:pPr>
        <w:numPr>
          <w:ilvl w:val="0"/>
          <w:numId w:val="1002"/>
        </w:numPr>
      </w:pPr>
      <w:r>
        <w:rPr>
          <w:b/>
          <w:bCs/>
        </w:rPr>
        <w:t xml:space="preserve">Missing the epistemological lesson by making the sermon purely about pastoral manner.</w:t>
      </w:r>
      <w:r>
        <w:t xml:space="preserve"> </w:t>
      </w:r>
      <w:r>
        <w:t xml:space="preserve">The practical application of</w:t>
      </w:r>
      <w:r>
        <w:t xml:space="preserve"> </w:t>
      </w:r>
      <w:r>
        <w:t xml:space="preserve">“be kind to suffering people”</w:t>
      </w:r>
      <w:r>
        <w:t xml:space="preserve"> </w:t>
      </w:r>
      <w:r>
        <w:t xml:space="preserve">is real but insufficient. The deeper lesson is about the limits of human ability to read divine providence — an epistemological humility grounded in the hiddenness of God’s ways. A sermon that ends with</w:t>
      </w:r>
      <w:r>
        <w:t xml:space="preserve"> </w:t>
      </w:r>
      <w:r>
        <w:t xml:space="preserve">“be nicer to Job”</w:t>
      </w:r>
      <w:r>
        <w:t xml:space="preserve"> </w:t>
      </w:r>
      <w:r>
        <w:t xml:space="preserve">has not fully engaged the theological claim the text is making.</w:t>
      </w:r>
    </w:p>
    <w:p>
      <w:pPr>
        <w:numPr>
          <w:ilvl w:val="0"/>
          <w:numId w:val="1002"/>
        </w:numPr>
      </w:pPr>
      <w:r>
        <w:rPr>
          <w:b/>
          <w:bCs/>
        </w:rPr>
        <w:t xml:space="preserve">Preaching the passage without connecting it to Job 42:7.</w:t>
      </w:r>
      <w:r>
        <w:t xml:space="preserve"> </w:t>
      </w:r>
      <w:r>
        <w:t xml:space="preserve">Exposition of any of the Friends’ speeches requires the reader to know where the drama ends. God’s direct condemnation of the Friends is the canonical control that transforms these speeches from potential sermon outlines into cautionary exhibits. Without 42:7, Zophar can be read as a model; with it, he is a warning.</w:t>
      </w:r>
    </w:p>
    <w:p>
      <w:pPr>
        <w:numPr>
          <w:ilvl w:val="0"/>
          <w:numId w:val="1002"/>
        </w:numPr>
      </w:pPr>
      <w:r>
        <w:rPr>
          <w:b/>
          <w:bCs/>
        </w:rPr>
        <w:t xml:space="preserve">Neglecting the New Testament canonical completion.</w:t>
      </w:r>
      <w:r>
        <w:t xml:space="preserve"> </w:t>
      </w:r>
      <w:r>
        <w:t xml:space="preserve">Jesus’s explicit correction of retributive diagnostics in Luke 13:1–5 and John 9:1–3 should be brought to bear. Job 20 is not an isolated curiosity from wisdom literature — it represents a theological pattern Jesus directly and publicly dismantled. Showing the canonical arc from Zophar to Jesus’s correction strengthens the doctrinal case and shows the congregation that this is not a minor interpretive point but a pattern of error the New Testament deliberately closes.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2026-07-14T21:03:59Z</dcterms:created>
  <dcterms:modified xsi:type="dcterms:W3CDTF">2026-07-14T21:03:59Z</dcterms:modified>
</cp:coreProperties>
</file>

<file path=docProps/custom.xml><?xml version="1.0" encoding="utf-8"?>
<Properties xmlns="http://schemas.openxmlformats.org/officeDocument/2006/custom-properties" xmlns:vt="http://schemas.openxmlformats.org/officeDocument/2006/docPropsVTypes"/>
</file>